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8BCDE" w14:textId="77777777" w:rsidR="009276D3" w:rsidRDefault="00000000">
      <w:pPr>
        <w:spacing w:after="300"/>
      </w:pPr>
      <w:r>
        <w:rPr>
          <w:noProof/>
        </w:rPr>
        <w:drawing>
          <wp:inline distT="0" distB="0" distL="0" distR="0" wp14:anchorId="27575459" wp14:editId="5C4B93F3">
            <wp:extent cx="3048000" cy="8382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29A70" w14:textId="77777777" w:rsidR="009276D3" w:rsidRDefault="00000000">
      <w:pPr>
        <w:spacing w:after="60"/>
        <w:jc w:val="center"/>
      </w:pPr>
      <w:r>
        <w:rPr>
          <w:b/>
          <w:bCs/>
          <w:color w:val="1F4E9C"/>
          <w:sz w:val="40"/>
          <w:szCs w:val="40"/>
        </w:rPr>
        <w:t>Czego NIE wolno wkleić do żadnego AI</w:t>
      </w:r>
    </w:p>
    <w:p w14:paraId="0E1BBC64" w14:textId="77777777" w:rsidR="009276D3" w:rsidRDefault="00000000">
      <w:pPr>
        <w:spacing w:after="240"/>
        <w:jc w:val="center"/>
      </w:pPr>
      <w:r>
        <w:rPr>
          <w:color w:val="666666"/>
          <w:sz w:val="24"/>
          <w:szCs w:val="24"/>
        </w:rPr>
        <w:t>Zasada czterech kategorii i lista „nigdzie, nigdy"</w:t>
      </w:r>
    </w:p>
    <w:p w14:paraId="59170BFD" w14:textId="77777777" w:rsidR="009276D3" w:rsidRDefault="00000000">
      <w:pPr>
        <w:pStyle w:val="Nagwek1"/>
        <w:pBdr>
          <w:bottom w:val="single" w:sz="8" w:space="0" w:color="7AB829"/>
        </w:pBdr>
        <w:spacing w:before="360" w:after="160"/>
      </w:pPr>
      <w:r>
        <w:rPr>
          <w:b/>
          <w:bCs/>
          <w:color w:val="1F4E9C"/>
          <w:sz w:val="30"/>
          <w:szCs w:val="30"/>
        </w:rPr>
        <w:t>Zasada czterech kategorii</w:t>
      </w:r>
    </w:p>
    <w:p w14:paraId="6433C392" w14:textId="77777777" w:rsidR="009276D3" w:rsidRDefault="00000000">
      <w:pPr>
        <w:spacing w:after="200" w:line="276" w:lineRule="auto"/>
      </w:pPr>
      <w:r>
        <w:rPr>
          <w:color w:val="333333"/>
        </w:rPr>
        <w:t>Zamiast zapamiętywać dziesiątki przypadków, wystarczy jedna rama. Każda informacja w firmie należy do jednej z czterech kategorii — i każda kategoria ma prostą zasadę:</w:t>
      </w:r>
    </w:p>
    <w:p w14:paraId="30E2B000" w14:textId="77777777" w:rsidR="009276D3" w:rsidRDefault="00000000">
      <w:pPr>
        <w:pStyle w:val="Nagwek2"/>
        <w:spacing w:before="240" w:after="80"/>
      </w:pPr>
      <w:r>
        <w:rPr>
          <w:b/>
          <w:bCs/>
          <w:color w:val="7AB829"/>
          <w:sz w:val="24"/>
          <w:szCs w:val="24"/>
        </w:rPr>
        <w:t>PUBLICZNE</w:t>
      </w:r>
      <w:r>
        <w:rPr>
          <w:b/>
          <w:bCs/>
          <w:color w:val="1F4E9C"/>
          <w:sz w:val="24"/>
          <w:szCs w:val="24"/>
        </w:rPr>
        <w:t xml:space="preserve"> — wolno wszędzie</w:t>
      </w:r>
    </w:p>
    <w:p w14:paraId="0386C26D" w14:textId="77777777" w:rsidR="009276D3" w:rsidRDefault="00000000">
      <w:pPr>
        <w:pBdr>
          <w:left w:val="single" w:sz="16" w:space="0" w:color="7AB829"/>
        </w:pBdr>
        <w:shd w:val="clear" w:color="auto" w:fill="F2F5FA"/>
        <w:spacing w:after="140" w:line="276" w:lineRule="auto"/>
        <w:ind w:left="360"/>
      </w:pPr>
      <w:r>
        <w:rPr>
          <w:color w:val="333333"/>
        </w:rPr>
        <w:t xml:space="preserve">Treści ze strony WWW, oferta publiczna, opublikowane materiały marketingowe. Skoro są w </w:t>
      </w:r>
      <w:proofErr w:type="spellStart"/>
      <w:r>
        <w:rPr>
          <w:color w:val="333333"/>
        </w:rPr>
        <w:t>internecie</w:t>
      </w:r>
      <w:proofErr w:type="spellEnd"/>
      <w:r>
        <w:rPr>
          <w:color w:val="333333"/>
        </w:rPr>
        <w:t>, czat AI niczego nie zmienia.</w:t>
      </w:r>
    </w:p>
    <w:p w14:paraId="63DD7B94" w14:textId="77777777" w:rsidR="009276D3" w:rsidRDefault="00000000">
      <w:pPr>
        <w:pStyle w:val="Nagwek2"/>
        <w:spacing w:before="240" w:after="80"/>
      </w:pPr>
      <w:r>
        <w:rPr>
          <w:b/>
          <w:bCs/>
          <w:color w:val="1F4E9C"/>
          <w:sz w:val="24"/>
          <w:szCs w:val="24"/>
        </w:rPr>
        <w:t>WEWNĘTRZNE — tylko narzędzia firmowe</w:t>
      </w:r>
    </w:p>
    <w:p w14:paraId="42DACE82" w14:textId="77777777" w:rsidR="009276D3" w:rsidRDefault="00000000">
      <w:pPr>
        <w:pBdr>
          <w:left w:val="single" w:sz="16" w:space="0" w:color="1F4E9C"/>
        </w:pBdr>
        <w:shd w:val="clear" w:color="auto" w:fill="F2F5FA"/>
        <w:spacing w:after="140" w:line="276" w:lineRule="auto"/>
        <w:ind w:left="360"/>
      </w:pPr>
      <w:r>
        <w:rPr>
          <w:color w:val="333333"/>
        </w:rPr>
        <w:t xml:space="preserve">Procedury, notatki, dokumenty robocze bez danych osobowych. W firmowym </w:t>
      </w:r>
      <w:proofErr w:type="spellStart"/>
      <w:r>
        <w:rPr>
          <w:color w:val="333333"/>
        </w:rPr>
        <w:t>Copilocie</w:t>
      </w:r>
      <w:proofErr w:type="spellEnd"/>
      <w:r>
        <w:rPr>
          <w:color w:val="333333"/>
        </w:rPr>
        <w:t xml:space="preserve"> czy firmowym koncie </w:t>
      </w:r>
      <w:proofErr w:type="spellStart"/>
      <w:r>
        <w:rPr>
          <w:color w:val="333333"/>
        </w:rPr>
        <w:t>ChatGPT</w:t>
      </w:r>
      <w:proofErr w:type="spellEnd"/>
      <w:r>
        <w:rPr>
          <w:color w:val="333333"/>
        </w:rPr>
        <w:t>/Claude — tak. W prywatnym, darmowym narzędziu — nie.</w:t>
      </w:r>
    </w:p>
    <w:p w14:paraId="5F3120B9" w14:textId="77777777" w:rsidR="009276D3" w:rsidRDefault="00000000">
      <w:pPr>
        <w:pStyle w:val="Nagwek2"/>
        <w:spacing w:before="240" w:after="80"/>
      </w:pPr>
      <w:r>
        <w:rPr>
          <w:b/>
          <w:bCs/>
          <w:color w:val="E8871E"/>
          <w:sz w:val="24"/>
          <w:szCs w:val="24"/>
        </w:rPr>
        <w:t>POUFNE</w:t>
      </w:r>
      <w:r>
        <w:rPr>
          <w:b/>
          <w:bCs/>
          <w:color w:val="1F4E9C"/>
          <w:sz w:val="24"/>
          <w:szCs w:val="24"/>
        </w:rPr>
        <w:t xml:space="preserve"> — narzędzia firmowe, z głową</w:t>
      </w:r>
    </w:p>
    <w:p w14:paraId="7AC14EB1" w14:textId="77777777" w:rsidR="009276D3" w:rsidRDefault="00000000">
      <w:pPr>
        <w:pBdr>
          <w:left w:val="single" w:sz="16" w:space="0" w:color="E8871E"/>
        </w:pBdr>
        <w:shd w:val="clear" w:color="auto" w:fill="F2F5FA"/>
        <w:spacing w:after="140" w:line="276" w:lineRule="auto"/>
        <w:ind w:left="360"/>
      </w:pPr>
      <w:r>
        <w:rPr>
          <w:color w:val="333333"/>
        </w:rPr>
        <w:t xml:space="preserve">Dane klientów, umowy, dane finansowe, podstawowe dane kadrowe. Wolno w narzędziach firmowych klasy </w:t>
      </w:r>
      <w:proofErr w:type="spellStart"/>
      <w:r>
        <w:rPr>
          <w:color w:val="333333"/>
        </w:rPr>
        <w:t>enterprise</w:t>
      </w:r>
      <w:proofErr w:type="spellEnd"/>
      <w:r>
        <w:rPr>
          <w:color w:val="333333"/>
        </w:rPr>
        <w:t>, ale zawsze z pytaniem: czy do tego zadania naprawdę potrzebuję pełnych danych, czy wystarczy fragment bez nazwisk i kwot?</w:t>
      </w:r>
    </w:p>
    <w:p w14:paraId="64F4D54F" w14:textId="77777777" w:rsidR="009276D3" w:rsidRDefault="00000000">
      <w:pPr>
        <w:pStyle w:val="Nagwek2"/>
        <w:spacing w:before="240" w:after="80"/>
      </w:pPr>
      <w:r>
        <w:rPr>
          <w:b/>
          <w:bCs/>
          <w:color w:val="C0392B"/>
          <w:sz w:val="24"/>
          <w:szCs w:val="24"/>
        </w:rPr>
        <w:t>ŚCIŚLE POUFNE</w:t>
      </w:r>
      <w:r>
        <w:rPr>
          <w:b/>
          <w:bCs/>
          <w:color w:val="1F4E9C"/>
          <w:sz w:val="24"/>
          <w:szCs w:val="24"/>
        </w:rPr>
        <w:t xml:space="preserve"> — nigdzie. Nigdy</w:t>
      </w:r>
    </w:p>
    <w:p w14:paraId="1FA81F07" w14:textId="77777777" w:rsidR="009276D3" w:rsidRDefault="00000000">
      <w:pPr>
        <w:pBdr>
          <w:left w:val="single" w:sz="16" w:space="0" w:color="C0392B"/>
        </w:pBdr>
        <w:shd w:val="clear" w:color="auto" w:fill="F2F5FA"/>
        <w:spacing w:after="140" w:line="276" w:lineRule="auto"/>
        <w:ind w:left="360"/>
      </w:pPr>
      <w:r>
        <w:rPr>
          <w:color w:val="333333"/>
        </w:rPr>
        <w:t>Lista poniżej. Te dane nie trafiają do żadnego narzędzia AI — firmowego ani prywatnego — bez indywidualnej zgody IOD lub osoby odpowiedzialnej za bezpieczeństwo.</w:t>
      </w:r>
    </w:p>
    <w:p w14:paraId="0FBB1587" w14:textId="77777777" w:rsidR="009276D3" w:rsidRDefault="00000000">
      <w:pPr>
        <w:pStyle w:val="Nagwek1"/>
        <w:pBdr>
          <w:bottom w:val="single" w:sz="8" w:space="0" w:color="7AB829"/>
        </w:pBdr>
        <w:spacing w:before="360" w:after="160"/>
      </w:pPr>
      <w:r>
        <w:rPr>
          <w:b/>
          <w:bCs/>
          <w:color w:val="1F4E9C"/>
          <w:sz w:val="30"/>
          <w:szCs w:val="30"/>
        </w:rPr>
        <w:t>Lista „nigdzie, nigdy"</w:t>
      </w:r>
    </w:p>
    <w:p w14:paraId="1735A88C" w14:textId="77777777" w:rsidR="009276D3" w:rsidRDefault="00000000">
      <w:pPr>
        <w:pStyle w:val="Akapitzlist"/>
        <w:numPr>
          <w:ilvl w:val="0"/>
          <w:numId w:val="2"/>
        </w:numPr>
        <w:spacing w:after="100" w:line="276" w:lineRule="auto"/>
      </w:pPr>
      <w:r>
        <w:rPr>
          <w:color w:val="333333"/>
        </w:rPr>
        <w:t xml:space="preserve">Hasła, klucze API, dane dostępowe do systemów — w żadnej formie, nawet „do </w:t>
      </w:r>
      <w:proofErr w:type="gramStart"/>
      <w:r>
        <w:rPr>
          <w:color w:val="333333"/>
        </w:rPr>
        <w:t>sprawdzenia,</w:t>
      </w:r>
      <w:proofErr w:type="gramEnd"/>
      <w:r>
        <w:rPr>
          <w:color w:val="333333"/>
        </w:rPr>
        <w:t xml:space="preserve"> czy hasło jest mocne"</w:t>
      </w:r>
    </w:p>
    <w:p w14:paraId="008FC7CC" w14:textId="77777777" w:rsidR="009276D3" w:rsidRDefault="00000000">
      <w:pPr>
        <w:pStyle w:val="Akapitzlist"/>
        <w:numPr>
          <w:ilvl w:val="0"/>
          <w:numId w:val="2"/>
        </w:numPr>
        <w:spacing w:after="100" w:line="276" w:lineRule="auto"/>
      </w:pPr>
      <w:r>
        <w:rPr>
          <w:color w:val="333333"/>
        </w:rPr>
        <w:t>Dane o zdrowiu — zwolnienia, orzeczenia, informacje o chorobach pracowników lub klientów</w:t>
      </w:r>
    </w:p>
    <w:p w14:paraId="26F094C8" w14:textId="77777777" w:rsidR="009276D3" w:rsidRDefault="00000000">
      <w:pPr>
        <w:pStyle w:val="Akapitzlist"/>
        <w:numPr>
          <w:ilvl w:val="0"/>
          <w:numId w:val="2"/>
        </w:numPr>
        <w:spacing w:after="100" w:line="276" w:lineRule="auto"/>
      </w:pPr>
      <w:r>
        <w:rPr>
          <w:color w:val="333333"/>
        </w:rPr>
        <w:t>Dane szczególnych kategorii RODO — pochodzenie, poglądy, wyznanie, dane biometryczne</w:t>
      </w:r>
    </w:p>
    <w:p w14:paraId="768894EC" w14:textId="77777777" w:rsidR="009276D3" w:rsidRDefault="00000000">
      <w:pPr>
        <w:pStyle w:val="Akapitzlist"/>
        <w:numPr>
          <w:ilvl w:val="0"/>
          <w:numId w:val="2"/>
        </w:numPr>
        <w:spacing w:after="100" w:line="276" w:lineRule="auto"/>
      </w:pPr>
      <w:r>
        <w:rPr>
          <w:color w:val="333333"/>
        </w:rPr>
        <w:t>Numery PESEL, dokumentów tożsamości, pełne dane kart płatniczych</w:t>
      </w:r>
    </w:p>
    <w:p w14:paraId="70C60606" w14:textId="77777777" w:rsidR="009276D3" w:rsidRDefault="00000000">
      <w:pPr>
        <w:pStyle w:val="Akapitzlist"/>
        <w:numPr>
          <w:ilvl w:val="0"/>
          <w:numId w:val="2"/>
        </w:numPr>
        <w:spacing w:after="100" w:line="276" w:lineRule="auto"/>
      </w:pPr>
      <w:r>
        <w:rPr>
          <w:color w:val="333333"/>
        </w:rPr>
        <w:t>Dokumenty objęte tajemnicą zawodową (adwokacką, lekarską, biegłego rewidenta) lub klauzulą poufności z umowy z klientem</w:t>
      </w:r>
    </w:p>
    <w:p w14:paraId="77E205FE" w14:textId="77777777" w:rsidR="009276D3" w:rsidRDefault="00000000">
      <w:pPr>
        <w:pStyle w:val="Akapitzlist"/>
        <w:numPr>
          <w:ilvl w:val="0"/>
          <w:numId w:val="2"/>
        </w:numPr>
        <w:spacing w:after="100" w:line="276" w:lineRule="auto"/>
      </w:pPr>
      <w:r>
        <w:rPr>
          <w:color w:val="333333"/>
        </w:rPr>
        <w:t>Informacje o planowanych transakcjach, przejęciach, sporach sądowych i strategii negocjacyjnej</w:t>
      </w:r>
    </w:p>
    <w:p w14:paraId="350CDE2E" w14:textId="77777777" w:rsidR="009276D3" w:rsidRDefault="00000000">
      <w:pPr>
        <w:pStyle w:val="Akapitzlist"/>
        <w:numPr>
          <w:ilvl w:val="0"/>
          <w:numId w:val="2"/>
        </w:numPr>
        <w:spacing w:after="100" w:line="276" w:lineRule="auto"/>
      </w:pPr>
      <w:r>
        <w:rPr>
          <w:color w:val="333333"/>
        </w:rPr>
        <w:t>Dane wynagrodzeń i dokumenty kadrowe konkretnych, możliwych do zidentyfikowania osób</w:t>
      </w:r>
    </w:p>
    <w:p w14:paraId="49B45CC2" w14:textId="77777777" w:rsidR="009276D3" w:rsidRDefault="00000000">
      <w:pPr>
        <w:pStyle w:val="Akapitzlist"/>
        <w:numPr>
          <w:ilvl w:val="0"/>
          <w:numId w:val="2"/>
        </w:numPr>
        <w:spacing w:after="100" w:line="276" w:lineRule="auto"/>
      </w:pPr>
      <w:r>
        <w:rPr>
          <w:color w:val="333333"/>
        </w:rPr>
        <w:t>Kod źródłowy i konfiguracje systemów bezpieczeństwa firmy</w:t>
      </w:r>
    </w:p>
    <w:sectPr w:rsidR="009276D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B94"/>
    <w:multiLevelType w:val="hybridMultilevel"/>
    <w:tmpl w:val="DD082FFC"/>
    <w:lvl w:ilvl="0" w:tplc="59DA6C24">
      <w:start w:val="1"/>
      <w:numFmt w:val="bullet"/>
      <w:lvlText w:val="•"/>
      <w:lvlJc w:val="left"/>
      <w:pPr>
        <w:ind w:left="720" w:hanging="360"/>
      </w:pPr>
      <w:rPr>
        <w:b/>
        <w:bCs/>
        <w:color w:val="C0392B"/>
      </w:rPr>
    </w:lvl>
    <w:lvl w:ilvl="1" w:tplc="2CC8647A">
      <w:numFmt w:val="decimal"/>
      <w:lvlText w:val=""/>
      <w:lvlJc w:val="left"/>
    </w:lvl>
    <w:lvl w:ilvl="2" w:tplc="38BC09A2">
      <w:numFmt w:val="decimal"/>
      <w:lvlText w:val=""/>
      <w:lvlJc w:val="left"/>
    </w:lvl>
    <w:lvl w:ilvl="3" w:tplc="F752AD68">
      <w:numFmt w:val="decimal"/>
      <w:lvlText w:val=""/>
      <w:lvlJc w:val="left"/>
    </w:lvl>
    <w:lvl w:ilvl="4" w:tplc="F2925598">
      <w:numFmt w:val="decimal"/>
      <w:lvlText w:val=""/>
      <w:lvlJc w:val="left"/>
    </w:lvl>
    <w:lvl w:ilvl="5" w:tplc="FE326E36">
      <w:numFmt w:val="decimal"/>
      <w:lvlText w:val=""/>
      <w:lvlJc w:val="left"/>
    </w:lvl>
    <w:lvl w:ilvl="6" w:tplc="78EEDBDA">
      <w:numFmt w:val="decimal"/>
      <w:lvlText w:val=""/>
      <w:lvlJc w:val="left"/>
    </w:lvl>
    <w:lvl w:ilvl="7" w:tplc="C69CDAD2">
      <w:numFmt w:val="decimal"/>
      <w:lvlText w:val=""/>
      <w:lvlJc w:val="left"/>
    </w:lvl>
    <w:lvl w:ilvl="8" w:tplc="372CDFF6">
      <w:numFmt w:val="decimal"/>
      <w:lvlText w:val=""/>
      <w:lvlJc w:val="left"/>
    </w:lvl>
  </w:abstractNum>
  <w:abstractNum w:abstractNumId="1" w15:restartNumberingAfterBreak="0">
    <w:nsid w:val="0B4805F2"/>
    <w:multiLevelType w:val="hybridMultilevel"/>
    <w:tmpl w:val="84E0FD76"/>
    <w:lvl w:ilvl="0" w:tplc="1C58AC68">
      <w:start w:val="1"/>
      <w:numFmt w:val="bullet"/>
      <w:lvlText w:val="●"/>
      <w:lvlJc w:val="left"/>
      <w:pPr>
        <w:ind w:left="720" w:hanging="360"/>
      </w:pPr>
    </w:lvl>
    <w:lvl w:ilvl="1" w:tplc="7E60B00A">
      <w:start w:val="1"/>
      <w:numFmt w:val="bullet"/>
      <w:lvlText w:val="○"/>
      <w:lvlJc w:val="left"/>
      <w:pPr>
        <w:ind w:left="1440" w:hanging="360"/>
      </w:pPr>
    </w:lvl>
    <w:lvl w:ilvl="2" w:tplc="203E54C2">
      <w:start w:val="1"/>
      <w:numFmt w:val="bullet"/>
      <w:lvlText w:val="■"/>
      <w:lvlJc w:val="left"/>
      <w:pPr>
        <w:ind w:left="2160" w:hanging="360"/>
      </w:pPr>
    </w:lvl>
    <w:lvl w:ilvl="3" w:tplc="F196C10A">
      <w:start w:val="1"/>
      <w:numFmt w:val="bullet"/>
      <w:lvlText w:val="●"/>
      <w:lvlJc w:val="left"/>
      <w:pPr>
        <w:ind w:left="2880" w:hanging="360"/>
      </w:pPr>
    </w:lvl>
    <w:lvl w:ilvl="4" w:tplc="584CDD74">
      <w:start w:val="1"/>
      <w:numFmt w:val="bullet"/>
      <w:lvlText w:val="○"/>
      <w:lvlJc w:val="left"/>
      <w:pPr>
        <w:ind w:left="3600" w:hanging="360"/>
      </w:pPr>
    </w:lvl>
    <w:lvl w:ilvl="5" w:tplc="314219F6">
      <w:start w:val="1"/>
      <w:numFmt w:val="bullet"/>
      <w:lvlText w:val="■"/>
      <w:lvlJc w:val="left"/>
      <w:pPr>
        <w:ind w:left="4320" w:hanging="360"/>
      </w:pPr>
    </w:lvl>
    <w:lvl w:ilvl="6" w:tplc="415CCE08">
      <w:start w:val="1"/>
      <w:numFmt w:val="bullet"/>
      <w:lvlText w:val="●"/>
      <w:lvlJc w:val="left"/>
      <w:pPr>
        <w:ind w:left="5040" w:hanging="360"/>
      </w:pPr>
    </w:lvl>
    <w:lvl w:ilvl="7" w:tplc="93A0D6AA">
      <w:start w:val="1"/>
      <w:numFmt w:val="bullet"/>
      <w:lvlText w:val="●"/>
      <w:lvlJc w:val="left"/>
      <w:pPr>
        <w:ind w:left="5760" w:hanging="360"/>
      </w:pPr>
    </w:lvl>
    <w:lvl w:ilvl="8" w:tplc="D2000882">
      <w:start w:val="1"/>
      <w:numFmt w:val="bullet"/>
      <w:lvlText w:val="●"/>
      <w:lvlJc w:val="left"/>
      <w:pPr>
        <w:ind w:left="6480" w:hanging="360"/>
      </w:pPr>
    </w:lvl>
  </w:abstractNum>
  <w:num w:numId="1" w16cid:durableId="660888993">
    <w:abstractNumId w:val="1"/>
    <w:lvlOverride w:ilvl="0">
      <w:startOverride w:val="1"/>
    </w:lvlOverride>
  </w:num>
  <w:num w:numId="2" w16cid:durableId="2426826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D3"/>
    <w:rsid w:val="008512B4"/>
    <w:rsid w:val="009276D3"/>
    <w:rsid w:val="00E5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F659F5"/>
  <w15:docId w15:val="{8066DF3C-9366-7F4C-8D64-B94F5537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Grzegorz Kokot</cp:lastModifiedBy>
  <cp:revision>2</cp:revision>
  <dcterms:created xsi:type="dcterms:W3CDTF">2026-07-20T08:15:00Z</dcterms:created>
  <dcterms:modified xsi:type="dcterms:W3CDTF">2026-07-20T08:15:00Z</dcterms:modified>
</cp:coreProperties>
</file>