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69659" w14:textId="77777777" w:rsidR="00270D95" w:rsidRDefault="00000000">
      <w:pPr>
        <w:spacing w:after="300"/>
      </w:pPr>
      <w:r>
        <w:rPr>
          <w:noProof/>
        </w:rPr>
        <w:drawing>
          <wp:inline distT="0" distB="0" distL="0" distR="0" wp14:anchorId="20367542" wp14:editId="53AD6098">
            <wp:extent cx="1612920" cy="443553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735" cy="49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8ACE" w14:textId="77777777" w:rsidR="00270D95" w:rsidRDefault="00000000">
      <w:pPr>
        <w:spacing w:after="240"/>
        <w:jc w:val="center"/>
      </w:pPr>
      <w:r>
        <w:rPr>
          <w:b/>
          <w:bCs/>
          <w:color w:val="1F4E9C"/>
          <w:sz w:val="40"/>
          <w:szCs w:val="40"/>
        </w:rPr>
        <w:t>Osiem punktów dobrej polityki AI</w:t>
      </w:r>
    </w:p>
    <w:p w14:paraId="75E3DCB2" w14:textId="77777777" w:rsidR="00270D95" w:rsidRDefault="00000000">
      <w:pPr>
        <w:pStyle w:val="Nagwek2"/>
        <w:pBdr>
          <w:bottom w:val="single" w:sz="6" w:space="0" w:color="D9E2F0"/>
        </w:pBdr>
        <w:spacing w:before="280" w:after="100"/>
      </w:pPr>
      <w:r>
        <w:rPr>
          <w:b/>
          <w:bCs/>
          <w:color w:val="7AB829"/>
        </w:rPr>
        <w:t xml:space="preserve">1. </w:t>
      </w:r>
      <w:r>
        <w:rPr>
          <w:b/>
          <w:bCs/>
          <w:color w:val="1F4E9C"/>
        </w:rPr>
        <w:t>Cel i zakres</w:t>
      </w:r>
    </w:p>
    <w:p w14:paraId="41968D07" w14:textId="77777777" w:rsidR="00270D95" w:rsidRDefault="00000000">
      <w:pPr>
        <w:spacing w:after="160" w:line="288" w:lineRule="auto"/>
      </w:pPr>
      <w:r>
        <w:rPr>
          <w:color w:val="333333"/>
        </w:rPr>
        <w:t xml:space="preserve">Dwa zdania: po co ten dokument istnieje i kogo obowiązuje. </w:t>
      </w:r>
      <w:r>
        <w:rPr>
          <w:b/>
          <w:bCs/>
          <w:color w:val="7AB829"/>
        </w:rPr>
        <w:t xml:space="preserve">Wskazówka: </w:t>
      </w:r>
      <w:r>
        <w:rPr>
          <w:color w:val="333333"/>
        </w:rPr>
        <w:t>obejmij nie tylko pracowników etatowych, ale też współpracowników B2B i osoby na zlecenie — wyciek danych nie sprawdza formy zatrudnienia.</w:t>
      </w:r>
    </w:p>
    <w:p w14:paraId="47AD22D4" w14:textId="77777777" w:rsidR="00270D95" w:rsidRDefault="00000000">
      <w:pPr>
        <w:pStyle w:val="Nagwek2"/>
        <w:pBdr>
          <w:bottom w:val="single" w:sz="6" w:space="0" w:color="D9E2F0"/>
        </w:pBdr>
        <w:spacing w:before="280" w:after="100"/>
      </w:pPr>
      <w:r>
        <w:rPr>
          <w:b/>
          <w:bCs/>
          <w:color w:val="7AB829"/>
        </w:rPr>
        <w:t xml:space="preserve">2. </w:t>
      </w:r>
      <w:r>
        <w:rPr>
          <w:b/>
          <w:bCs/>
          <w:color w:val="1F4E9C"/>
        </w:rPr>
        <w:t>Narzędzia dozwolone — z linkami</w:t>
      </w:r>
    </w:p>
    <w:p w14:paraId="581DFE53" w14:textId="77777777" w:rsidR="00270D95" w:rsidRDefault="00000000">
      <w:pPr>
        <w:spacing w:after="160" w:line="288" w:lineRule="auto"/>
      </w:pPr>
      <w:r>
        <w:rPr>
          <w:color w:val="333333"/>
        </w:rPr>
        <w:t xml:space="preserve">Konkretna lista: „używamy Microsoft 365 </w:t>
      </w:r>
      <w:proofErr w:type="spellStart"/>
      <w:r>
        <w:rPr>
          <w:color w:val="333333"/>
        </w:rPr>
        <w:t>Copilot</w:t>
      </w:r>
      <w:proofErr w:type="spellEnd"/>
      <w:r>
        <w:rPr>
          <w:color w:val="333333"/>
        </w:rPr>
        <w:t xml:space="preserve"> na koncie firmowym, logowanie tutaj". Nie „dozwolone są narzędzia zatwierdzone przez IT" — nikt nie wie, co to znaczy. Jeśli lista jest pusta, bo firma nie kupiła jeszcze żadnych licencji, polityka zakazująca wszystkiego bez alternatywy wyprodukuje wyłącznie </w:t>
      </w:r>
      <w:proofErr w:type="spellStart"/>
      <w:r>
        <w:rPr>
          <w:color w:val="333333"/>
        </w:rPr>
        <w:t>Shadow</w:t>
      </w:r>
      <w:proofErr w:type="spellEnd"/>
      <w:r>
        <w:rPr>
          <w:color w:val="333333"/>
        </w:rPr>
        <w:t xml:space="preserve"> AI.</w:t>
      </w:r>
    </w:p>
    <w:p w14:paraId="11B291CB" w14:textId="77777777" w:rsidR="00270D95" w:rsidRDefault="00000000">
      <w:pPr>
        <w:pStyle w:val="Nagwek2"/>
        <w:pBdr>
          <w:bottom w:val="single" w:sz="6" w:space="0" w:color="D9E2F0"/>
        </w:pBdr>
        <w:spacing w:before="280" w:after="100"/>
      </w:pPr>
      <w:r>
        <w:rPr>
          <w:b/>
          <w:bCs/>
          <w:color w:val="7AB829"/>
        </w:rPr>
        <w:t xml:space="preserve">3. </w:t>
      </w:r>
      <w:r>
        <w:rPr>
          <w:b/>
          <w:bCs/>
          <w:color w:val="1F4E9C"/>
        </w:rPr>
        <w:t xml:space="preserve">Zasady danych — co wolno </w:t>
      </w:r>
      <w:proofErr w:type="gramStart"/>
      <w:r>
        <w:rPr>
          <w:b/>
          <w:bCs/>
          <w:color w:val="1F4E9C"/>
        </w:rPr>
        <w:t>wkleić</w:t>
      </w:r>
      <w:proofErr w:type="gramEnd"/>
      <w:r>
        <w:rPr>
          <w:b/>
          <w:bCs/>
          <w:color w:val="1F4E9C"/>
        </w:rPr>
        <w:t xml:space="preserve"> gdzie</w:t>
      </w:r>
    </w:p>
    <w:p w14:paraId="0A8FD1D8" w14:textId="77777777" w:rsidR="00270D95" w:rsidRDefault="00000000">
      <w:pPr>
        <w:spacing w:after="160" w:line="288" w:lineRule="auto"/>
      </w:pPr>
      <w:r>
        <w:rPr>
          <w:b/>
          <w:bCs/>
          <w:color w:val="333333"/>
        </w:rPr>
        <w:t xml:space="preserve">Serce dokumentu. </w:t>
      </w:r>
      <w:r>
        <w:rPr>
          <w:color w:val="333333"/>
        </w:rPr>
        <w:t>Najprościej działa podział na kategorie: dane publiczne (wolno wszędzie), wewnętrzne (tylko narzędzia firmowe), poufne (tylko narzędzia firmowe, z rozwagą), ściśle poufne — dane zdrowotne, hasła, dane zarządu, dokumenty objęte tajemnicą zawodową (nigdzie, nigdy, w żadnym narzędziu AI). Do tego punktu wrócimy szerzej w osobnym artykule pod koniec lipca — z listą do powieszenia w biurze.</w:t>
      </w:r>
    </w:p>
    <w:p w14:paraId="4A720EAE" w14:textId="77777777" w:rsidR="00270D95" w:rsidRDefault="00000000">
      <w:pPr>
        <w:pStyle w:val="Nagwek2"/>
        <w:pBdr>
          <w:bottom w:val="single" w:sz="6" w:space="0" w:color="D9E2F0"/>
        </w:pBdr>
        <w:spacing w:before="280" w:after="100"/>
      </w:pPr>
      <w:r>
        <w:rPr>
          <w:b/>
          <w:bCs/>
          <w:color w:val="7AB829"/>
        </w:rPr>
        <w:t xml:space="preserve">4. </w:t>
      </w:r>
      <w:r>
        <w:rPr>
          <w:b/>
          <w:bCs/>
          <w:color w:val="1F4E9C"/>
        </w:rPr>
        <w:t>Zakaz narzędzi prywatnych do danych firmowych — z wyjaśnieniem</w:t>
      </w:r>
    </w:p>
    <w:p w14:paraId="14AA006E" w14:textId="77777777" w:rsidR="00270D95" w:rsidRDefault="00000000">
      <w:pPr>
        <w:spacing w:after="160" w:line="288" w:lineRule="auto"/>
      </w:pPr>
      <w:r>
        <w:rPr>
          <w:color w:val="333333"/>
        </w:rPr>
        <w:t xml:space="preserve">Sam zakaz nie wystarczy; ludzie omijają zasady, których nie rozumieją. </w:t>
      </w:r>
      <w:proofErr w:type="gramStart"/>
      <w:r>
        <w:rPr>
          <w:color w:val="333333"/>
        </w:rPr>
        <w:t>Wyjaśnij</w:t>
      </w:r>
      <w:proofErr w:type="gramEnd"/>
      <w:r>
        <w:rPr>
          <w:color w:val="333333"/>
        </w:rPr>
        <w:t xml:space="preserve"> dlaczego: darmowe i prywatne wersje narzędzi nie mają umowy powierzenia danych z firmą, a wklejone treści mogą być wykorzystywane do trenowania modeli. To nie jest fanaberia działu IT — to różnica między narzędziem z gwarancjami umownymi a wrzuceniem dokumentu do </w:t>
      </w:r>
      <w:proofErr w:type="spellStart"/>
      <w:r>
        <w:rPr>
          <w:color w:val="333333"/>
        </w:rPr>
        <w:t>internetu</w:t>
      </w:r>
      <w:proofErr w:type="spellEnd"/>
      <w:r>
        <w:rPr>
          <w:color w:val="333333"/>
        </w:rPr>
        <w:t>.</w:t>
      </w:r>
    </w:p>
    <w:p w14:paraId="58DF3FEB" w14:textId="77777777" w:rsidR="00270D95" w:rsidRDefault="00000000">
      <w:pPr>
        <w:pStyle w:val="Nagwek2"/>
        <w:pBdr>
          <w:bottom w:val="single" w:sz="6" w:space="0" w:color="D9E2F0"/>
        </w:pBdr>
        <w:spacing w:before="280" w:after="100"/>
      </w:pPr>
      <w:r>
        <w:rPr>
          <w:b/>
          <w:bCs/>
          <w:color w:val="7AB829"/>
        </w:rPr>
        <w:t xml:space="preserve">5. </w:t>
      </w:r>
      <w:r>
        <w:rPr>
          <w:b/>
          <w:bCs/>
          <w:color w:val="1F4E9C"/>
        </w:rPr>
        <w:t>Weryfikacja wyników — odpowiedzialność zostaje przy człowieku</w:t>
      </w:r>
    </w:p>
    <w:p w14:paraId="07A410E9" w14:textId="77777777" w:rsidR="00270D95" w:rsidRDefault="00000000">
      <w:pPr>
        <w:spacing w:after="160" w:line="288" w:lineRule="auto"/>
      </w:pPr>
      <w:r>
        <w:rPr>
          <w:color w:val="333333"/>
        </w:rPr>
        <w:t>Modele AI potrafią generować odpowiedzi brzmiące pewnie i będące nieprawdą. Zasada musi być jednoznaczna: treść wygenerowana przez AI, która wychodzi na zewnątrz firmy albo trafia do dokumentu o znaczeniu prawnym czy finansowym, wymaga weryfikacji człowieka. Odpowiedzialność za treść ponosi osoba, która ją wysyła lub publikuje — „tak powiedział czat" nie jest linią obrony.</w:t>
      </w:r>
    </w:p>
    <w:p w14:paraId="3C297BC2" w14:textId="77777777" w:rsidR="00270D95" w:rsidRDefault="00000000">
      <w:pPr>
        <w:pStyle w:val="Nagwek2"/>
        <w:pBdr>
          <w:bottom w:val="single" w:sz="6" w:space="0" w:color="D9E2F0"/>
        </w:pBdr>
        <w:spacing w:before="280" w:after="100"/>
      </w:pPr>
      <w:r>
        <w:rPr>
          <w:b/>
          <w:bCs/>
          <w:color w:val="7AB829"/>
        </w:rPr>
        <w:t xml:space="preserve">6. </w:t>
      </w:r>
      <w:r>
        <w:rPr>
          <w:b/>
          <w:bCs/>
          <w:color w:val="1F4E9C"/>
        </w:rPr>
        <w:t>Przejrzystość</w:t>
      </w:r>
    </w:p>
    <w:p w14:paraId="1E7D9566" w14:textId="77777777" w:rsidR="00270D95" w:rsidRDefault="00000000">
      <w:pPr>
        <w:spacing w:after="160" w:line="288" w:lineRule="auto"/>
      </w:pPr>
      <w:r>
        <w:rPr>
          <w:color w:val="333333"/>
        </w:rPr>
        <w:t xml:space="preserve">Kiedy informujemy klientów, kandydatów i pracowników, że w procesie uczestniczy AI. Minimum wynikające z przepisów: człowiek rozmawiający z </w:t>
      </w:r>
      <w:proofErr w:type="spellStart"/>
      <w:r>
        <w:rPr>
          <w:color w:val="333333"/>
        </w:rPr>
        <w:t>chatbotem</w:t>
      </w:r>
      <w:proofErr w:type="spellEnd"/>
      <w:r>
        <w:rPr>
          <w:color w:val="333333"/>
        </w:rPr>
        <w:t xml:space="preserve"> musi wiedzieć, że rozmawia z maszyną. Dobra praktyka idzie dalej — jawność buduje zaufanie, ukrywanie je rujnuje przy pierwszej wpadce.</w:t>
      </w:r>
    </w:p>
    <w:p w14:paraId="52D92E50" w14:textId="77777777" w:rsidR="00270D95" w:rsidRDefault="00000000">
      <w:pPr>
        <w:pStyle w:val="Nagwek2"/>
        <w:pBdr>
          <w:bottom w:val="single" w:sz="6" w:space="0" w:color="D9E2F0"/>
        </w:pBdr>
        <w:spacing w:before="280" w:after="100"/>
      </w:pPr>
      <w:r>
        <w:rPr>
          <w:b/>
          <w:bCs/>
          <w:color w:val="7AB829"/>
        </w:rPr>
        <w:t xml:space="preserve">7. </w:t>
      </w:r>
      <w:r>
        <w:rPr>
          <w:b/>
          <w:bCs/>
          <w:color w:val="1F4E9C"/>
        </w:rPr>
        <w:t>Zgłaszanie incydentów — bez kar za szczerość</w:t>
      </w:r>
    </w:p>
    <w:p w14:paraId="70D29F1B" w14:textId="77777777" w:rsidR="00270D95" w:rsidRDefault="00000000">
      <w:pPr>
        <w:spacing w:after="160" w:line="288" w:lineRule="auto"/>
      </w:pPr>
      <w:r>
        <w:rPr>
          <w:color w:val="333333"/>
        </w:rPr>
        <w:t xml:space="preserve">Jedna skrzynka lub jedna osoba, do której zgłasza się wyciek, błąd lub wątpliwość. I zasada kluczowa: zgłoszenie w dobrej wierze nie pociąga konsekwencji. Pracownik, który boi się przyznać, że wkleił za dużo, </w:t>
      </w:r>
      <w:r>
        <w:rPr>
          <w:color w:val="333333"/>
        </w:rPr>
        <w:lastRenderedPageBreak/>
        <w:t>nie zgłosi tego — a firma dowie się o incydencie od klienta albo od regulatora. Kultura „zgłoś, naprawimy razem" jest tańsza niż kultura strachu.</w:t>
      </w:r>
    </w:p>
    <w:p w14:paraId="5B2ECC2A" w14:textId="77777777" w:rsidR="00270D95" w:rsidRDefault="00000000">
      <w:pPr>
        <w:pStyle w:val="Nagwek2"/>
        <w:pBdr>
          <w:bottom w:val="single" w:sz="6" w:space="0" w:color="D9E2F0"/>
        </w:pBdr>
        <w:spacing w:before="280" w:after="100"/>
      </w:pPr>
      <w:r>
        <w:rPr>
          <w:b/>
          <w:bCs/>
          <w:color w:val="7AB829"/>
        </w:rPr>
        <w:t xml:space="preserve">8. </w:t>
      </w:r>
      <w:r>
        <w:rPr>
          <w:b/>
          <w:bCs/>
          <w:color w:val="1F4E9C"/>
        </w:rPr>
        <w:t>Właściciel i data przeglądu</w:t>
      </w:r>
    </w:p>
    <w:p w14:paraId="2D5B3CC1" w14:textId="77777777" w:rsidR="00270D95" w:rsidRDefault="00000000">
      <w:pPr>
        <w:spacing w:after="160" w:line="288" w:lineRule="auto"/>
      </w:pPr>
      <w:r>
        <w:rPr>
          <w:color w:val="333333"/>
        </w:rPr>
        <w:t xml:space="preserve">Kto aktualizuje dokument i jak często — minimum raz w roku, a realnie częściej, bo narzędzia i przepisy zmieniają się szybko. Polityka z 2024 roku opisująca świat sprzed </w:t>
      </w:r>
      <w:proofErr w:type="spellStart"/>
      <w:r>
        <w:rPr>
          <w:color w:val="333333"/>
        </w:rPr>
        <w:t>Copilota</w:t>
      </w:r>
      <w:proofErr w:type="spellEnd"/>
      <w:r>
        <w:rPr>
          <w:color w:val="333333"/>
        </w:rPr>
        <w:t xml:space="preserve"> i AI </w:t>
      </w:r>
      <w:proofErr w:type="spellStart"/>
      <w:r>
        <w:rPr>
          <w:color w:val="333333"/>
        </w:rPr>
        <w:t>Act</w:t>
      </w:r>
      <w:proofErr w:type="spellEnd"/>
      <w:r>
        <w:rPr>
          <w:color w:val="333333"/>
        </w:rPr>
        <w:t xml:space="preserve"> jest gorsza niż brak polityki: daje fałszywe poczucie, że temat jest załatwiony.</w:t>
      </w:r>
    </w:p>
    <w:sectPr w:rsidR="00270D9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E2828"/>
    <w:multiLevelType w:val="hybridMultilevel"/>
    <w:tmpl w:val="74C644A0"/>
    <w:lvl w:ilvl="0" w:tplc="0B505D0E">
      <w:start w:val="1"/>
      <w:numFmt w:val="bullet"/>
      <w:lvlText w:val="●"/>
      <w:lvlJc w:val="left"/>
      <w:pPr>
        <w:ind w:left="720" w:hanging="360"/>
      </w:pPr>
    </w:lvl>
    <w:lvl w:ilvl="1" w:tplc="47A04E30">
      <w:start w:val="1"/>
      <w:numFmt w:val="bullet"/>
      <w:lvlText w:val="○"/>
      <w:lvlJc w:val="left"/>
      <w:pPr>
        <w:ind w:left="1440" w:hanging="360"/>
      </w:pPr>
    </w:lvl>
    <w:lvl w:ilvl="2" w:tplc="DA884582">
      <w:start w:val="1"/>
      <w:numFmt w:val="bullet"/>
      <w:lvlText w:val="■"/>
      <w:lvlJc w:val="left"/>
      <w:pPr>
        <w:ind w:left="2160" w:hanging="360"/>
      </w:pPr>
    </w:lvl>
    <w:lvl w:ilvl="3" w:tplc="D7CADA32">
      <w:start w:val="1"/>
      <w:numFmt w:val="bullet"/>
      <w:lvlText w:val="●"/>
      <w:lvlJc w:val="left"/>
      <w:pPr>
        <w:ind w:left="2880" w:hanging="360"/>
      </w:pPr>
    </w:lvl>
    <w:lvl w:ilvl="4" w:tplc="3552E7DC">
      <w:start w:val="1"/>
      <w:numFmt w:val="bullet"/>
      <w:lvlText w:val="○"/>
      <w:lvlJc w:val="left"/>
      <w:pPr>
        <w:ind w:left="3600" w:hanging="360"/>
      </w:pPr>
    </w:lvl>
    <w:lvl w:ilvl="5" w:tplc="83A4CFE4">
      <w:start w:val="1"/>
      <w:numFmt w:val="bullet"/>
      <w:lvlText w:val="■"/>
      <w:lvlJc w:val="left"/>
      <w:pPr>
        <w:ind w:left="4320" w:hanging="360"/>
      </w:pPr>
    </w:lvl>
    <w:lvl w:ilvl="6" w:tplc="0CFC8364">
      <w:start w:val="1"/>
      <w:numFmt w:val="bullet"/>
      <w:lvlText w:val="●"/>
      <w:lvlJc w:val="left"/>
      <w:pPr>
        <w:ind w:left="5040" w:hanging="360"/>
      </w:pPr>
    </w:lvl>
    <w:lvl w:ilvl="7" w:tplc="2286EA48">
      <w:start w:val="1"/>
      <w:numFmt w:val="bullet"/>
      <w:lvlText w:val="●"/>
      <w:lvlJc w:val="left"/>
      <w:pPr>
        <w:ind w:left="5760" w:hanging="360"/>
      </w:pPr>
    </w:lvl>
    <w:lvl w:ilvl="8" w:tplc="6F7C40C6">
      <w:start w:val="1"/>
      <w:numFmt w:val="bullet"/>
      <w:lvlText w:val="●"/>
      <w:lvlJc w:val="left"/>
      <w:pPr>
        <w:ind w:left="6480" w:hanging="360"/>
      </w:pPr>
    </w:lvl>
  </w:abstractNum>
  <w:num w:numId="1" w16cid:durableId="11225294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D95"/>
    <w:rsid w:val="000B4B74"/>
    <w:rsid w:val="00270D95"/>
    <w:rsid w:val="00E5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EA2ABB"/>
  <w15:docId w15:val="{8066DF3C-9366-7F4C-8D64-B94F5537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Grzegorz Kokot</cp:lastModifiedBy>
  <cp:revision>2</cp:revision>
  <dcterms:created xsi:type="dcterms:W3CDTF">2026-07-20T09:15:00Z</dcterms:created>
  <dcterms:modified xsi:type="dcterms:W3CDTF">2026-07-20T09:15:00Z</dcterms:modified>
</cp:coreProperties>
</file>